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8A" w:rsidRPr="002951EC" w:rsidRDefault="005F6B8A" w:rsidP="005F6B8A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Gołkowice ul. Strażacka 1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51609, działka 1644/127.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Powierzchnia do oddania w dzierżawę:</w:t>
      </w:r>
    </w:p>
    <w:p w:rsidR="005F6B8A" w:rsidRPr="006D3DA9" w:rsidRDefault="005F6B8A" w:rsidP="005F6B8A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Parter</w:t>
      </w:r>
      <w:r w:rsidRPr="002951EC">
        <w:rPr>
          <w:rFonts w:asciiTheme="minorHAnsi" w:hAnsiTheme="minorHAnsi" w:cstheme="minorHAnsi"/>
          <w:sz w:val="16"/>
          <w:szCs w:val="16"/>
        </w:rPr>
        <w:t>: lokal użytkowy o powierzchni podstawowej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D3DA9">
        <w:rPr>
          <w:rFonts w:asciiTheme="minorHAnsi" w:hAnsiTheme="minorHAnsi" w:cstheme="minorHAnsi"/>
          <w:b/>
          <w:sz w:val="16"/>
          <w:szCs w:val="16"/>
        </w:rPr>
        <w:t>26,16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6D3DA9">
        <w:rPr>
          <w:rFonts w:asciiTheme="minorHAnsi" w:hAnsiTheme="minorHAnsi" w:cstheme="minorHAnsi"/>
          <w:b/>
          <w:sz w:val="16"/>
          <w:szCs w:val="16"/>
        </w:rPr>
        <w:t>36,06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5F6B8A" w:rsidRPr="002951EC" w:rsidRDefault="005F6B8A" w:rsidP="005F6B8A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5F6B8A" w:rsidRPr="00A94C94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5F6B8A" w:rsidRPr="002951EC" w:rsidRDefault="005F6B8A" w:rsidP="005F6B8A">
      <w:pPr>
        <w:pStyle w:val="Tekstprzypisukocowego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- powierzchni podstawowej do wydzierżawienia z pkt. </w:t>
      </w:r>
      <w:r>
        <w:rPr>
          <w:rFonts w:asciiTheme="minorHAnsi" w:hAnsiTheme="minorHAnsi" w:cstheme="minorHAnsi"/>
          <w:sz w:val="16"/>
          <w:szCs w:val="16"/>
        </w:rPr>
        <w:t>2.1</w:t>
      </w:r>
      <w:r w:rsidRPr="002951EC">
        <w:rPr>
          <w:rFonts w:asciiTheme="minorHAnsi" w:hAnsiTheme="minorHAnsi" w:cstheme="minorHAnsi"/>
          <w:sz w:val="16"/>
          <w:szCs w:val="16"/>
        </w:rPr>
        <w:t>.,  związanej z wykonywaniem świadczeń zdrowotnych wynosi 12,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0 zł miesięcznie + 23% VAT,</w:t>
      </w:r>
    </w:p>
    <w:p w:rsidR="005F6B8A" w:rsidRPr="002951EC" w:rsidRDefault="005F6B8A" w:rsidP="005F6B8A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5F6B8A" w:rsidRPr="002951EC" w:rsidRDefault="005F6B8A" w:rsidP="005F6B8A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cena powierzchni dodatkowej z pkt. 2.1.  wynosi 8,00 zł miesięcznie + 23% VAT,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Wykaz powierzchni opisanej w pkt. 2.1 ma na celu regulację tytułu prawnego na rzecz dzierżawcy deklarującego kontynuowanie działalności o tym samym charakterze, co poprzedni najemca.</w:t>
      </w:r>
      <w:r w:rsidR="00183749">
        <w:rPr>
          <w:rFonts w:asciiTheme="minorHAnsi" w:hAnsiTheme="minorHAnsi" w:cstheme="minorHAnsi"/>
          <w:sz w:val="16"/>
          <w:szCs w:val="16"/>
        </w:rPr>
        <w:t xml:space="preserve"> Ponadto przeznacza się do oddania w dzierżawę powierzchnie na nośniki reklam.</w:t>
      </w:r>
    </w:p>
    <w:p w:rsidR="005F6B8A" w:rsidRPr="002951EC" w:rsidRDefault="005F6B8A" w:rsidP="005F6B8A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5F6B8A" w:rsidRPr="002951EC" w:rsidRDefault="005F6B8A" w:rsidP="005F6B8A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 xml:space="preserve">Gorzyce ul. Raciborska 48 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50040, 12858, działka 955/21, 957/21.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33,21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20,78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12,56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7,86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54,68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56,56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7,38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23,63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24,94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22,50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148,89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Grunt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962,43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:rsidR="005F6B8A" w:rsidRPr="002951EC" w:rsidRDefault="005F6B8A" w:rsidP="005F6B8A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5F6B8A" w:rsidRPr="002951EC" w:rsidRDefault="005F6B8A" w:rsidP="005F6B8A">
      <w:pPr>
        <w:pStyle w:val="Tekstprzypisukocowego"/>
        <w:spacing w:after="0" w:line="240" w:lineRule="auto"/>
        <w:ind w:left="73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2.1.,2.2, 2.3.,  związanej z wykonywaniem świadczeń zdrowotnych wynosi 12,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0 zł miesięcznie + 23% VAT,</w:t>
      </w:r>
    </w:p>
    <w:p w:rsidR="005F6B8A" w:rsidRPr="002951EC" w:rsidRDefault="005F6B8A" w:rsidP="005F6B8A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2.1.,2.2, 2.3., nie związanej z wykonywaniem świadczeń zdrowotnych wynosi 2</w:t>
      </w:r>
      <w:r>
        <w:rPr>
          <w:rFonts w:asciiTheme="minorHAnsi" w:hAnsiTheme="minorHAnsi" w:cstheme="minorHAnsi"/>
          <w:sz w:val="16"/>
          <w:szCs w:val="16"/>
        </w:rPr>
        <w:t>6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 VAT,</w:t>
      </w:r>
    </w:p>
    <w:p w:rsidR="005F6B8A" w:rsidRPr="002951EC" w:rsidRDefault="005F6B8A" w:rsidP="005F6B8A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</w:t>
      </w:r>
      <w:r>
        <w:rPr>
          <w:rFonts w:asciiTheme="minorHAnsi" w:hAnsiTheme="minorHAnsi" w:cstheme="minorHAnsi"/>
          <w:sz w:val="16"/>
          <w:szCs w:val="16"/>
        </w:rPr>
        <w:t>dzierżawienia z pkt. 2.4. – 2.9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:rsidR="005F6B8A" w:rsidRPr="002951EC" w:rsidRDefault="005F6B8A" w:rsidP="005F6B8A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5F6B8A" w:rsidRPr="002951EC" w:rsidRDefault="005F6B8A" w:rsidP="005F6B8A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cena powierzchni dodatkowej z pkt. 2.1.,2.2, 2.3.,  wynosi 8,00 zł miesięcznie + 23% VAT,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5F6B8A" w:rsidRPr="002951EC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5F6B8A" w:rsidRDefault="005F6B8A" w:rsidP="005F6B8A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5F6B8A" w:rsidRPr="002951EC" w:rsidRDefault="005F6B8A" w:rsidP="005F6B8A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5F6B8A" w:rsidRPr="002951EC" w:rsidRDefault="005F6B8A" w:rsidP="005F6B8A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Lubomia ul. Parkowa 2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51697, działka 1481/92.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5F6B8A" w:rsidRPr="002951EC" w:rsidRDefault="005F6B8A" w:rsidP="005F6B8A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:</w:t>
      </w:r>
    </w:p>
    <w:p w:rsidR="005F6B8A" w:rsidRPr="002951EC" w:rsidRDefault="005F6B8A" w:rsidP="005F6B8A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+ 23%VAT(plus postąpienie),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5F6B8A" w:rsidRPr="002951EC" w:rsidRDefault="005F6B8A" w:rsidP="005F6B8A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5F6B8A" w:rsidRPr="002951EC" w:rsidRDefault="005F6B8A" w:rsidP="005F6B8A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Marklowice ul. Zana 3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25343, działka 567/30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5F6B8A" w:rsidRPr="002951EC" w:rsidRDefault="005F6B8A" w:rsidP="005F6B8A">
      <w:pPr>
        <w:pStyle w:val="Tekstpodstawowy"/>
        <w:numPr>
          <w:ilvl w:val="1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5F6B8A" w:rsidRPr="002951EC" w:rsidRDefault="005F6B8A" w:rsidP="005F6B8A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5F6B8A" w:rsidRPr="002951EC" w:rsidRDefault="005F6B8A" w:rsidP="005F6B8A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5F6B8A" w:rsidRPr="002951EC" w:rsidRDefault="005F6B8A" w:rsidP="005F6B8A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5F6B8A" w:rsidRPr="002951EC" w:rsidRDefault="005F6B8A" w:rsidP="005F6B8A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Rogów ul. Parkowa 10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51207, działka 204/30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36,05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13,50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9,53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9,72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19,64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16,82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5F6B8A" w:rsidRPr="002951EC" w:rsidRDefault="005F6B8A" w:rsidP="005F6B8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Nieruchomość przeznaczona jest na działalność związaną z wykonywaniem świadczeń zdrowotnych lub inną nieuciążliwą dla pacjentów i dla personelu.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5F6B8A" w:rsidRPr="002951EC" w:rsidRDefault="005F6B8A" w:rsidP="005F6B8A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 – 2.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:rsidR="005F6B8A" w:rsidRPr="002951EC" w:rsidRDefault="005F6B8A" w:rsidP="005F6B8A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5F6B8A" w:rsidRPr="002951EC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5F6B8A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5F6B8A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B2451E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 </w:t>
      </w:r>
    </w:p>
    <w:p w:rsidR="005F6B8A" w:rsidRPr="00B2451E" w:rsidRDefault="005F6B8A" w:rsidP="005F6B8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B2451E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5F6B8A" w:rsidRPr="002951EC" w:rsidRDefault="005F6B8A" w:rsidP="005F6B8A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Skrzyszów ul. Wyzwolenia 10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51208, działka 1485/153.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5F6B8A" w:rsidRPr="002951EC" w:rsidRDefault="005F6B8A" w:rsidP="005F6B8A">
      <w:pPr>
        <w:pStyle w:val="Tekstpodstawowy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5F6B8A" w:rsidRPr="002951EC" w:rsidRDefault="005F6B8A" w:rsidP="005F6B8A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5F6B8A" w:rsidRPr="002951EC" w:rsidRDefault="005F6B8A" w:rsidP="005F6B8A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5F6B8A" w:rsidRPr="002951EC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5F6B8A" w:rsidRDefault="005F6B8A" w:rsidP="005F6B8A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5F6B8A" w:rsidRPr="002951EC" w:rsidRDefault="005F6B8A" w:rsidP="005F6B8A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5F6B8A" w:rsidRPr="002951EC" w:rsidRDefault="005F6B8A" w:rsidP="005F6B8A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 ul. 26 Marca 51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51083, działka 2520/145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Powierzchnie do oddania w dzierżawę:</w:t>
      </w:r>
    </w:p>
    <w:p w:rsidR="005F6B8A" w:rsidRPr="002951EC" w:rsidRDefault="005F6B8A" w:rsidP="005F6B8A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ogrodzenia oraz gruntu celem umieszczenia nośnika reklam.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Teren przeznaczony w dzierżawę jako ogródki działkowe.</w:t>
      </w:r>
    </w:p>
    <w:p w:rsidR="005F6B8A" w:rsidRPr="002951EC" w:rsidRDefault="005F6B8A" w:rsidP="005F6B8A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5F6B8A" w:rsidRPr="006D3DA9" w:rsidRDefault="005F6B8A" w:rsidP="005F6B8A">
      <w:pPr>
        <w:pStyle w:val="Tekstpodstawowy"/>
        <w:keepLines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m</w:t>
      </w:r>
      <w:r w:rsidRPr="002951EC">
        <w:rPr>
          <w:rFonts w:asciiTheme="minorHAnsi" w:hAnsiTheme="minorHAnsi" w:cstheme="minorHAnsi"/>
          <w:position w:val="7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5F6B8A" w:rsidRPr="002951EC" w:rsidRDefault="005F6B8A" w:rsidP="005F6B8A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+ 23%VAT.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faktury.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Ogródki działkowe i powierzchnie na nośniki reklam przeznaczone są do oddania w dzierżawę.</w:t>
      </w:r>
    </w:p>
    <w:p w:rsidR="005F6B8A" w:rsidRPr="002951EC" w:rsidRDefault="005F6B8A" w:rsidP="005F6B8A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5F6B8A" w:rsidRPr="005F6B8A" w:rsidRDefault="005F6B8A" w:rsidP="005F6B8A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  <w:r w:rsidRPr="005F6B8A">
        <w:rPr>
          <w:rFonts w:asciiTheme="minorHAnsi" w:hAnsiTheme="minorHAnsi" w:cstheme="minorHAnsi"/>
          <w:sz w:val="16"/>
          <w:szCs w:val="16"/>
        </w:rPr>
        <w:t>Wodzisław Śląski, 23.08.2022 r.</w:t>
      </w:r>
      <w:bookmarkStart w:id="0" w:name="_GoBack"/>
      <w:bookmarkEnd w:id="0"/>
    </w:p>
    <w:p w:rsidR="005F6B8A" w:rsidRPr="005F6B8A" w:rsidRDefault="005F6B8A" w:rsidP="005F6B8A">
      <w:pPr>
        <w:ind w:left="4962"/>
        <w:rPr>
          <w:rFonts w:asciiTheme="minorHAnsi" w:hAnsiTheme="minorHAnsi" w:cstheme="minorHAnsi"/>
          <w:sz w:val="16"/>
          <w:szCs w:val="16"/>
        </w:rPr>
      </w:pPr>
      <w:r w:rsidRPr="005F6B8A">
        <w:rPr>
          <w:rFonts w:asciiTheme="minorHAnsi" w:hAnsiTheme="minorHAnsi" w:cstheme="minorHAnsi"/>
          <w:sz w:val="16"/>
          <w:szCs w:val="16"/>
        </w:rPr>
        <w:t>Dyrektor</w:t>
      </w:r>
    </w:p>
    <w:p w:rsidR="005F6B8A" w:rsidRPr="005F6B8A" w:rsidRDefault="005F6B8A" w:rsidP="005F6B8A">
      <w:pPr>
        <w:ind w:left="4962"/>
        <w:rPr>
          <w:rFonts w:asciiTheme="minorHAnsi" w:hAnsiTheme="minorHAnsi" w:cstheme="minorHAnsi"/>
          <w:b/>
          <w:i/>
          <w:sz w:val="16"/>
          <w:szCs w:val="16"/>
        </w:rPr>
      </w:pPr>
      <w:r w:rsidRPr="005F6B8A">
        <w:rPr>
          <w:rFonts w:asciiTheme="minorHAnsi" w:hAnsiTheme="minorHAnsi" w:cstheme="minorHAnsi"/>
          <w:i/>
          <w:sz w:val="16"/>
          <w:szCs w:val="16"/>
        </w:rPr>
        <w:t>Grzegorz Stankiewicz</w:t>
      </w:r>
    </w:p>
    <w:sectPr w:rsidR="005F6B8A" w:rsidRPr="005F6B8A" w:rsidSect="009272FA">
      <w:footerReference w:type="default" r:id="rId7"/>
      <w:pgSz w:w="16837" w:h="11905" w:orient="landscape"/>
      <w:pgMar w:top="851" w:right="709" w:bottom="851" w:left="567" w:header="510" w:footer="510" w:gutter="0"/>
      <w:pgNumType w:start="6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55" w:rsidRDefault="00C57255" w:rsidP="0067473A">
      <w:pPr>
        <w:spacing w:after="0" w:line="240" w:lineRule="auto"/>
      </w:pPr>
      <w:r>
        <w:separator/>
      </w:r>
    </w:p>
  </w:endnote>
  <w:endnote w:type="continuationSeparator" w:id="0">
    <w:p w:rsidR="00C57255" w:rsidRDefault="00C57255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A" w:rsidRDefault="0007762C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18374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55" w:rsidRDefault="00C57255" w:rsidP="0067473A">
      <w:pPr>
        <w:spacing w:after="0" w:line="240" w:lineRule="auto"/>
      </w:pPr>
      <w:r>
        <w:separator/>
      </w:r>
    </w:p>
  </w:footnote>
  <w:footnote w:type="continuationSeparator" w:id="0">
    <w:p w:rsidR="00C57255" w:rsidRDefault="00C57255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3A"/>
    <w:rsid w:val="00002CDB"/>
    <w:rsid w:val="00011E81"/>
    <w:rsid w:val="0007762C"/>
    <w:rsid w:val="0008128A"/>
    <w:rsid w:val="00085653"/>
    <w:rsid w:val="000A7671"/>
    <w:rsid w:val="000B4CC6"/>
    <w:rsid w:val="000D46A7"/>
    <w:rsid w:val="00133E33"/>
    <w:rsid w:val="001667E8"/>
    <w:rsid w:val="00183749"/>
    <w:rsid w:val="00187A8B"/>
    <w:rsid w:val="001C3225"/>
    <w:rsid w:val="001E13B6"/>
    <w:rsid w:val="001E345F"/>
    <w:rsid w:val="001E7311"/>
    <w:rsid w:val="0020684C"/>
    <w:rsid w:val="0023041B"/>
    <w:rsid w:val="002403B7"/>
    <w:rsid w:val="00245F07"/>
    <w:rsid w:val="002566A4"/>
    <w:rsid w:val="002951EC"/>
    <w:rsid w:val="002D4610"/>
    <w:rsid w:val="002F5491"/>
    <w:rsid w:val="003314BD"/>
    <w:rsid w:val="0038455F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A4862"/>
    <w:rsid w:val="005C5287"/>
    <w:rsid w:val="005D6D37"/>
    <w:rsid w:val="005F6B8A"/>
    <w:rsid w:val="00604FDE"/>
    <w:rsid w:val="00642EC5"/>
    <w:rsid w:val="00647E42"/>
    <w:rsid w:val="00650CDE"/>
    <w:rsid w:val="0066169E"/>
    <w:rsid w:val="00667F04"/>
    <w:rsid w:val="0067473A"/>
    <w:rsid w:val="00696240"/>
    <w:rsid w:val="0069654E"/>
    <w:rsid w:val="006D3DA9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272FA"/>
    <w:rsid w:val="00945FE2"/>
    <w:rsid w:val="009C333B"/>
    <w:rsid w:val="00A00FB0"/>
    <w:rsid w:val="00A311AE"/>
    <w:rsid w:val="00A34E2C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57255"/>
    <w:rsid w:val="00C73A70"/>
    <w:rsid w:val="00C85CB0"/>
    <w:rsid w:val="00C92283"/>
    <w:rsid w:val="00C96319"/>
    <w:rsid w:val="00CC759D"/>
    <w:rsid w:val="00D10C6C"/>
    <w:rsid w:val="00D32055"/>
    <w:rsid w:val="00D367B9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06049"/>
    <w:rsid w:val="00F127E8"/>
    <w:rsid w:val="00F22319"/>
    <w:rsid w:val="00F365E6"/>
    <w:rsid w:val="00F4239C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2022-04-26T07:02:00Z</cp:lastPrinted>
  <dcterms:created xsi:type="dcterms:W3CDTF">2022-08-19T08:37:00Z</dcterms:created>
  <dcterms:modified xsi:type="dcterms:W3CDTF">2022-08-19T11:31:00Z</dcterms:modified>
</cp:coreProperties>
</file>